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atLeast"/>
        <w:rPr>
          <w:rFonts w:ascii="黑体" w:hAnsi="黑体" w:eastAsia="黑体" w:cs="方正小标宋简体"/>
          <w:b/>
          <w:sz w:val="36"/>
          <w:szCs w:val="36"/>
        </w:rPr>
      </w:pPr>
      <w:r>
        <w:rPr>
          <w:rFonts w:hint="eastAsia" w:ascii="黑体" w:hAnsi="黑体" w:eastAsia="黑体" w:cs="方正小标宋简体"/>
          <w:b/>
          <w:sz w:val="36"/>
          <w:szCs w:val="36"/>
        </w:rPr>
        <w:t>附件</w:t>
      </w:r>
      <w:r>
        <w:rPr>
          <w:rFonts w:ascii="黑体" w:hAnsi="黑体" w:eastAsia="黑体" w:cs="方正小标宋简体"/>
          <w:b/>
          <w:sz w:val="36"/>
          <w:szCs w:val="36"/>
        </w:rPr>
        <w:t>1</w:t>
      </w:r>
      <w:r>
        <w:rPr>
          <w:rFonts w:hint="eastAsia" w:ascii="黑体" w:hAnsi="黑体" w:eastAsia="黑体" w:cs="方正小标宋简体"/>
          <w:b/>
          <w:sz w:val="36"/>
          <w:szCs w:val="36"/>
        </w:rPr>
        <w:t>：</w:t>
      </w:r>
      <w:r>
        <w:rPr>
          <w:rFonts w:ascii="黑体" w:hAnsi="黑体" w:eastAsia="黑体" w:cs="方正小标宋简体"/>
          <w:b/>
          <w:sz w:val="36"/>
          <w:szCs w:val="36"/>
        </w:rPr>
        <w:t xml:space="preserve">              </w:t>
      </w:r>
      <w:r>
        <w:rPr>
          <w:rFonts w:hint="eastAsia" w:ascii="黑体" w:hAnsi="黑体" w:eastAsia="黑体" w:cs="方正小标宋简体"/>
          <w:b/>
          <w:sz w:val="36"/>
          <w:szCs w:val="36"/>
        </w:rPr>
        <w:t>党总支（直属党支部）工作考核指标体系自评表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427"/>
        <w:gridCol w:w="6422"/>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07" w:type="pct"/>
            <w:vAlign w:val="center"/>
          </w:tcPr>
          <w:p>
            <w:pPr>
              <w:snapToGrid w:val="0"/>
              <w:spacing w:line="340" w:lineRule="exact"/>
              <w:jc w:val="center"/>
              <w:rPr>
                <w:rFonts w:ascii="黑体" w:hAnsi="宋体" w:eastAsia="黑体" w:cs="黑体"/>
                <w:w w:val="90"/>
                <w:sz w:val="28"/>
                <w:szCs w:val="28"/>
              </w:rPr>
            </w:pPr>
            <w:r>
              <w:rPr>
                <w:rFonts w:hint="eastAsia" w:ascii="黑体" w:hAnsi="黑体" w:eastAsia="黑体" w:cs="黑体"/>
                <w:bCs/>
                <w:sz w:val="28"/>
                <w:szCs w:val="28"/>
              </w:rPr>
              <w:t>党总支（直属党支部）名称</w:t>
            </w:r>
          </w:p>
        </w:tc>
        <w:tc>
          <w:tcPr>
            <w:tcW w:w="468" w:type="pct"/>
            <w:vAlign w:val="center"/>
          </w:tcPr>
          <w:p>
            <w:pPr>
              <w:snapToGrid w:val="0"/>
              <w:spacing w:line="340" w:lineRule="exact"/>
              <w:jc w:val="center"/>
              <w:rPr>
                <w:rFonts w:ascii="黑体" w:hAnsi="宋体" w:eastAsia="黑体" w:cs="黑体"/>
                <w:w w:val="90"/>
                <w:sz w:val="28"/>
                <w:szCs w:val="28"/>
              </w:rPr>
            </w:pPr>
            <w:r>
              <w:rPr>
                <w:rFonts w:hint="eastAsia" w:ascii="黑体" w:hAnsi="黑体" w:eastAsia="黑体" w:cs="黑体"/>
                <w:bCs/>
                <w:sz w:val="28"/>
                <w:szCs w:val="28"/>
              </w:rPr>
              <w:t>考核项目</w:t>
            </w:r>
          </w:p>
        </w:tc>
        <w:tc>
          <w:tcPr>
            <w:tcW w:w="2106" w:type="pct"/>
            <w:vAlign w:val="center"/>
          </w:tcPr>
          <w:p>
            <w:pPr>
              <w:snapToGrid w:val="0"/>
              <w:spacing w:line="340" w:lineRule="exact"/>
              <w:jc w:val="center"/>
              <w:rPr>
                <w:rFonts w:ascii="黑体" w:hAnsi="黑体" w:eastAsia="黑体" w:cs="黑体"/>
                <w:bCs/>
                <w:sz w:val="28"/>
                <w:szCs w:val="28"/>
              </w:rPr>
            </w:pPr>
            <w:r>
              <w:rPr>
                <w:rFonts w:hint="eastAsia" w:ascii="黑体" w:hAnsi="黑体" w:eastAsia="黑体" w:cs="黑体"/>
                <w:bCs/>
                <w:sz w:val="28"/>
                <w:szCs w:val="28"/>
              </w:rPr>
              <w:t>考核指标</w:t>
            </w:r>
          </w:p>
        </w:tc>
        <w:tc>
          <w:tcPr>
            <w:tcW w:w="2017" w:type="pct"/>
            <w:vAlign w:val="center"/>
          </w:tcPr>
          <w:p>
            <w:pPr>
              <w:snapToGrid w:val="0"/>
              <w:spacing w:line="340" w:lineRule="exact"/>
              <w:jc w:val="center"/>
              <w:rPr>
                <w:rFonts w:ascii="黑体" w:hAnsi="黑体" w:eastAsia="黑体" w:cs="黑体"/>
                <w:bCs/>
                <w:sz w:val="24"/>
                <w:szCs w:val="24"/>
              </w:rPr>
            </w:pPr>
            <w:r>
              <w:rPr>
                <w:rFonts w:hint="eastAsia" w:ascii="黑体" w:hAnsi="黑体" w:eastAsia="黑体" w:cs="黑体"/>
                <w:bCs/>
                <w:sz w:val="28"/>
                <w:szCs w:val="28"/>
              </w:rPr>
              <w:t>开展工作具体情况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trPr>
        <w:tc>
          <w:tcPr>
            <w:tcW w:w="407" w:type="pct"/>
            <w:vMerge w:val="restart"/>
            <w:vAlign w:val="center"/>
          </w:tcPr>
          <w:p>
            <w:pPr>
              <w:snapToGrid w:val="0"/>
              <w:spacing w:line="340" w:lineRule="exact"/>
              <w:rPr>
                <w:rFonts w:ascii="仿宋_GB2312" w:hAnsi="仿宋_GB2312" w:eastAsia="仿宋_GB2312" w:cs="仿宋_GB2312"/>
                <w:w w:val="90"/>
                <w:sz w:val="24"/>
                <w:szCs w:val="24"/>
              </w:rPr>
            </w:pPr>
          </w:p>
        </w:tc>
        <w:tc>
          <w:tcPr>
            <w:tcW w:w="468" w:type="pct"/>
          </w:tcPr>
          <w:p>
            <w:pPr>
              <w:snapToGrid w:val="0"/>
              <w:spacing w:line="340" w:lineRule="exact"/>
              <w:rPr>
                <w:rFonts w:ascii="仿宋_GB2312" w:hAnsi="仿宋_GB2312" w:eastAsia="仿宋_GB2312" w:cs="仿宋_GB2312"/>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仿宋_GB2312" w:hAnsi="仿宋_GB2312" w:eastAsia="仿宋_GB2312" w:cs="仿宋_GB2312"/>
                <w:sz w:val="24"/>
                <w:szCs w:val="24"/>
              </w:rPr>
            </w:pPr>
            <w:r>
              <w:rPr>
                <w:rFonts w:hint="eastAsia" w:ascii="黑体" w:hAnsi="黑体" w:eastAsia="黑体" w:cs="黑体"/>
                <w:bCs/>
                <w:sz w:val="24"/>
                <w:szCs w:val="24"/>
              </w:rPr>
              <w:t>组织建设</w:t>
            </w:r>
          </w:p>
        </w:tc>
        <w:tc>
          <w:tcPr>
            <w:tcW w:w="2106" w:type="pct"/>
          </w:tcPr>
          <w:p>
            <w:pPr>
              <w:snapToGrid w:val="0"/>
              <w:spacing w:line="340" w:lineRule="exact"/>
              <w:rPr>
                <w:rFonts w:ascii="仿宋" w:hAnsi="仿宋" w:eastAsia="仿宋" w:cs="仿宋_GB2312"/>
                <w:sz w:val="28"/>
                <w:szCs w:val="28"/>
              </w:rPr>
            </w:pPr>
          </w:p>
          <w:p>
            <w:pPr>
              <w:snapToGrid w:val="0"/>
              <w:spacing w:line="340" w:lineRule="exact"/>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支部设置合理，支委会组织健全、分工明确、班子成员团结协作，党总支</w:t>
            </w:r>
            <w:r>
              <w:rPr>
                <w:rFonts w:ascii="仿宋" w:hAnsi="仿宋" w:eastAsia="仿宋" w:cs="仿宋_GB2312"/>
                <w:sz w:val="28"/>
                <w:szCs w:val="28"/>
              </w:rPr>
              <w:t>(</w:t>
            </w:r>
            <w:r>
              <w:rPr>
                <w:rFonts w:hint="eastAsia" w:ascii="仿宋" w:hAnsi="仿宋" w:eastAsia="仿宋" w:cs="仿宋_GB2312"/>
                <w:sz w:val="28"/>
                <w:szCs w:val="28"/>
              </w:rPr>
              <w:t>直属党支部）书记能积极发挥党建主体责任，党员场站长积极履行“一岗双责”，担负起党建重要责任，支委能积极履职发挥作用。</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支委会能够坚持民主集中制，凡涉及党建重要事项，能坚持集体讨论、科学决策，决策前能够充分听取职工意见。书记参与讨论决定本站发展建设等重要事项和职工切身利益的工作机制健全、运行顺畅，有效发挥政治核心和保证监督作用。</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书记熟悉党务知识，勤奋务实，精力投入足，清正廉洁，群众威信较高，保证和监督责任发挥好。</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发展党员程序严谨、培养教育环节规范、审查严格、档案材料完备。</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党员组织关系管理规范有序，按规定时间和要求转接组织关系。党费收缴及时，账目清晰、使用规范。</w:t>
            </w:r>
          </w:p>
          <w:p>
            <w:pPr>
              <w:snapToGrid w:val="0"/>
              <w:spacing w:line="340" w:lineRule="exact"/>
              <w:rPr>
                <w:rFonts w:ascii="仿宋" w:hAnsi="仿宋" w:eastAsia="仿宋" w:cs="仿宋_GB2312"/>
                <w:sz w:val="28"/>
                <w:szCs w:val="28"/>
              </w:rPr>
            </w:pPr>
          </w:p>
          <w:p>
            <w:pPr>
              <w:snapToGrid w:val="0"/>
              <w:spacing w:line="340" w:lineRule="exact"/>
              <w:rPr>
                <w:rFonts w:ascii="仿宋" w:hAnsi="仿宋" w:eastAsia="仿宋" w:cs="仿宋_GB2312"/>
                <w:sz w:val="28"/>
                <w:szCs w:val="28"/>
              </w:rPr>
            </w:pPr>
          </w:p>
        </w:tc>
        <w:tc>
          <w:tcPr>
            <w:tcW w:w="2017" w:type="pct"/>
          </w:tcPr>
          <w:p>
            <w:pPr>
              <w:snapToGrid w:val="0"/>
              <w:spacing w:line="340" w:lineRule="exact"/>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2" w:hRule="atLeast"/>
        </w:trPr>
        <w:tc>
          <w:tcPr>
            <w:tcW w:w="407" w:type="pct"/>
            <w:vMerge w:val="continue"/>
            <w:vAlign w:val="center"/>
          </w:tcPr>
          <w:p>
            <w:pPr>
              <w:snapToGrid w:val="0"/>
              <w:spacing w:line="340" w:lineRule="exact"/>
              <w:rPr>
                <w:rFonts w:ascii="仿宋_GB2312" w:hAnsi="仿宋_GB2312" w:eastAsia="仿宋_GB2312" w:cs="仿宋_GB2312"/>
                <w:sz w:val="24"/>
                <w:szCs w:val="24"/>
              </w:rPr>
            </w:pPr>
          </w:p>
        </w:tc>
        <w:tc>
          <w:tcPr>
            <w:tcW w:w="468" w:type="pct"/>
          </w:tcPr>
          <w:p>
            <w:pPr>
              <w:snapToGrid w:val="0"/>
              <w:spacing w:line="340" w:lineRule="exact"/>
              <w:jc w:val="center"/>
              <w:rPr>
                <w:rFonts w:ascii="仿宋_GB2312" w:hAnsi="仿宋_GB2312" w:eastAsia="仿宋_GB2312" w:cs="仿宋_GB2312"/>
                <w:sz w:val="24"/>
                <w:szCs w:val="24"/>
              </w:rPr>
            </w:pPr>
          </w:p>
          <w:p>
            <w:pPr>
              <w:snapToGrid w:val="0"/>
              <w:spacing w:line="340" w:lineRule="exact"/>
              <w:jc w:val="center"/>
              <w:rPr>
                <w:rFonts w:ascii="仿宋_GB2312" w:hAnsi="仿宋_GB2312" w:eastAsia="仿宋_GB2312" w:cs="仿宋_GB2312"/>
                <w:sz w:val="24"/>
                <w:szCs w:val="24"/>
              </w:rPr>
            </w:pPr>
          </w:p>
          <w:p>
            <w:pPr>
              <w:snapToGrid w:val="0"/>
              <w:spacing w:line="340" w:lineRule="exact"/>
              <w:jc w:val="center"/>
              <w:rPr>
                <w:rFonts w:ascii="仿宋_GB2312" w:hAnsi="仿宋_GB2312" w:eastAsia="仿宋_GB2312" w:cs="仿宋_GB2312"/>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黑体" w:hAnsi="黑体" w:eastAsia="黑体" w:cs="黑体"/>
                <w:bCs/>
                <w:sz w:val="24"/>
                <w:szCs w:val="24"/>
              </w:rPr>
            </w:pPr>
          </w:p>
          <w:p>
            <w:pPr>
              <w:snapToGrid w:val="0"/>
              <w:spacing w:line="340" w:lineRule="exact"/>
              <w:jc w:val="center"/>
              <w:rPr>
                <w:rFonts w:ascii="仿宋_GB2312" w:hAnsi="仿宋_GB2312" w:eastAsia="仿宋_GB2312" w:cs="仿宋_GB2312"/>
                <w:sz w:val="24"/>
                <w:szCs w:val="24"/>
              </w:rPr>
            </w:pPr>
            <w:r>
              <w:rPr>
                <w:rFonts w:hint="eastAsia" w:ascii="黑体" w:hAnsi="黑体" w:eastAsia="黑体" w:cs="黑体"/>
                <w:bCs/>
                <w:sz w:val="24"/>
                <w:szCs w:val="24"/>
              </w:rPr>
              <w:t>制度建设</w:t>
            </w:r>
          </w:p>
        </w:tc>
        <w:tc>
          <w:tcPr>
            <w:tcW w:w="2106" w:type="pct"/>
          </w:tcPr>
          <w:p>
            <w:pPr>
              <w:snapToGrid w:val="0"/>
              <w:spacing w:line="340" w:lineRule="exact"/>
              <w:rPr>
                <w:rFonts w:ascii="仿宋" w:hAnsi="仿宋" w:eastAsia="仿宋" w:cs="仿宋_GB2312"/>
                <w:sz w:val="28"/>
                <w:szCs w:val="28"/>
              </w:rPr>
            </w:pPr>
          </w:p>
          <w:p>
            <w:pPr>
              <w:snapToGrid w:val="0"/>
              <w:spacing w:line="340" w:lineRule="exact"/>
              <w:rPr>
                <w:rFonts w:ascii="仿宋" w:hAnsi="仿宋" w:eastAsia="仿宋" w:cs="仿宋_GB2312"/>
                <w:sz w:val="28"/>
                <w:szCs w:val="28"/>
              </w:rPr>
            </w:pPr>
          </w:p>
          <w:p>
            <w:pPr>
              <w:snapToGrid w:val="0"/>
              <w:spacing w:line="340" w:lineRule="exact"/>
              <w:rPr>
                <w:rFonts w:ascii="仿宋" w:hAnsi="仿宋" w:eastAsia="仿宋" w:cs="仿宋_GB2312"/>
                <w:sz w:val="28"/>
                <w:szCs w:val="28"/>
              </w:rPr>
            </w:pPr>
          </w:p>
          <w:p>
            <w:pPr>
              <w:snapToGrid w:val="0"/>
              <w:spacing w:line="340" w:lineRule="exact"/>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有年度党建工作计划和总结。</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学习和党员活动有计划、有考勤、有记录，执行效果好。</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职工政治理论学习有制度、有考勤、有记录、有学习笔记；原则上每周</w:t>
            </w:r>
            <w:r>
              <w:rPr>
                <w:rFonts w:ascii="仿宋" w:hAnsi="仿宋" w:eastAsia="仿宋" w:cs="仿宋_GB2312"/>
                <w:sz w:val="28"/>
                <w:szCs w:val="28"/>
              </w:rPr>
              <w:t>1</w:t>
            </w:r>
            <w:r>
              <w:rPr>
                <w:rFonts w:hint="eastAsia" w:ascii="仿宋" w:hAnsi="仿宋" w:eastAsia="仿宋" w:cs="仿宋_GB2312"/>
                <w:sz w:val="28"/>
                <w:szCs w:val="28"/>
              </w:rPr>
              <w:t>次，方式多样、内容丰富，每次参学率不低于</w:t>
            </w:r>
            <w:r>
              <w:rPr>
                <w:rFonts w:ascii="仿宋" w:hAnsi="仿宋" w:eastAsia="仿宋" w:cs="仿宋_GB2312"/>
                <w:sz w:val="28"/>
                <w:szCs w:val="28"/>
              </w:rPr>
              <w:t>80%</w:t>
            </w:r>
            <w:r>
              <w:rPr>
                <w:rFonts w:hint="eastAsia" w:ascii="仿宋" w:hAnsi="仿宋" w:eastAsia="仿宋" w:cs="仿宋_GB2312"/>
                <w:sz w:val="28"/>
                <w:szCs w:val="28"/>
              </w:rPr>
              <w:t>。</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“三会一课”</w:t>
            </w:r>
            <w:r>
              <w:rPr>
                <w:rFonts w:ascii="仿宋" w:hAnsi="仿宋" w:eastAsia="仿宋" w:cs="仿宋_GB2312"/>
                <w:sz w:val="28"/>
                <w:szCs w:val="28"/>
              </w:rPr>
              <w:t xml:space="preserve"> </w:t>
            </w:r>
            <w:r>
              <w:rPr>
                <w:rFonts w:hint="eastAsia" w:ascii="仿宋" w:hAnsi="仿宋" w:eastAsia="仿宋" w:cs="仿宋_GB2312"/>
                <w:sz w:val="28"/>
                <w:szCs w:val="28"/>
              </w:rPr>
              <w:t>有制度、有考勤、有记录、有学习笔记、有课件。支委会每月</w:t>
            </w:r>
            <w:r>
              <w:rPr>
                <w:rFonts w:ascii="仿宋" w:hAnsi="仿宋" w:eastAsia="仿宋" w:cs="仿宋_GB2312"/>
                <w:sz w:val="28"/>
                <w:szCs w:val="28"/>
              </w:rPr>
              <w:t>1</w:t>
            </w:r>
            <w:r>
              <w:rPr>
                <w:rFonts w:hint="eastAsia" w:ascii="仿宋" w:hAnsi="仿宋" w:eastAsia="仿宋" w:cs="仿宋_GB2312"/>
                <w:sz w:val="28"/>
                <w:szCs w:val="28"/>
              </w:rPr>
              <w:t>次（没有支委会的支部召开党员会），党员会议每季度</w:t>
            </w:r>
            <w:r>
              <w:rPr>
                <w:rFonts w:ascii="仿宋" w:hAnsi="仿宋" w:eastAsia="仿宋" w:cs="仿宋_GB2312"/>
                <w:sz w:val="28"/>
                <w:szCs w:val="28"/>
              </w:rPr>
              <w:t>1</w:t>
            </w:r>
            <w:r>
              <w:rPr>
                <w:rFonts w:hint="eastAsia" w:ascii="仿宋" w:hAnsi="仿宋" w:eastAsia="仿宋" w:cs="仿宋_GB2312"/>
                <w:sz w:val="28"/>
                <w:szCs w:val="28"/>
              </w:rPr>
              <w:t>次，每年开展</w:t>
            </w:r>
            <w:r>
              <w:rPr>
                <w:rFonts w:ascii="仿宋" w:hAnsi="仿宋" w:eastAsia="仿宋" w:cs="仿宋_GB2312"/>
                <w:sz w:val="28"/>
                <w:szCs w:val="28"/>
              </w:rPr>
              <w:t>1</w:t>
            </w:r>
            <w:r>
              <w:rPr>
                <w:rFonts w:hint="eastAsia" w:ascii="仿宋" w:hAnsi="仿宋" w:eastAsia="仿宋" w:cs="仿宋_GB2312"/>
                <w:sz w:val="28"/>
                <w:szCs w:val="28"/>
              </w:rPr>
              <w:t>次专题组织生活会和民主评议党员活动，书记每年讲党课不少于</w:t>
            </w:r>
            <w:r>
              <w:rPr>
                <w:rFonts w:ascii="仿宋" w:hAnsi="仿宋" w:eastAsia="仿宋" w:cs="仿宋_GB2312"/>
                <w:sz w:val="28"/>
                <w:szCs w:val="28"/>
              </w:rPr>
              <w:t>2</w:t>
            </w:r>
            <w:r>
              <w:rPr>
                <w:rFonts w:hint="eastAsia" w:ascii="仿宋" w:hAnsi="仿宋" w:eastAsia="仿宋" w:cs="仿宋_GB2312"/>
                <w:sz w:val="28"/>
                <w:szCs w:val="28"/>
              </w:rPr>
              <w:t>次。</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“主题党日”制度健全，主题鲜明，形式丰富，每月</w:t>
            </w:r>
            <w:r>
              <w:rPr>
                <w:rFonts w:ascii="仿宋" w:hAnsi="仿宋" w:eastAsia="仿宋" w:cs="仿宋_GB2312"/>
                <w:sz w:val="28"/>
                <w:szCs w:val="28"/>
              </w:rPr>
              <w:t>1</w:t>
            </w:r>
            <w:r>
              <w:rPr>
                <w:rFonts w:hint="eastAsia" w:ascii="仿宋" w:hAnsi="仿宋" w:eastAsia="仿宋" w:cs="仿宋_GB2312"/>
                <w:sz w:val="28"/>
                <w:szCs w:val="28"/>
              </w:rPr>
              <w:t>次，成效显著。</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6.</w:t>
            </w:r>
            <w:r>
              <w:rPr>
                <w:rFonts w:hint="eastAsia" w:ascii="仿宋" w:hAnsi="仿宋" w:eastAsia="仿宋" w:cs="仿宋_GB2312"/>
                <w:sz w:val="28"/>
                <w:szCs w:val="28"/>
              </w:rPr>
              <w:t>有重大事项请示报告制度（选举、专题组织生活会、民主评议党员、党员外出集体活动等）。</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7.</w:t>
            </w:r>
            <w:r>
              <w:rPr>
                <w:rFonts w:hint="eastAsia" w:ascii="仿宋" w:hAnsi="仿宋" w:eastAsia="仿宋" w:cs="仿宋_GB2312"/>
                <w:sz w:val="28"/>
                <w:szCs w:val="28"/>
              </w:rPr>
              <w:t>建立工作通报和征求意见制度，定期向党员和职工、离退休人员通报场站发展情况，听取职工意见和建议。</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8.</w:t>
            </w:r>
            <w:r>
              <w:rPr>
                <w:rFonts w:hint="eastAsia" w:ascii="仿宋" w:hAnsi="仿宋" w:eastAsia="仿宋" w:cs="仿宋_GB2312"/>
                <w:sz w:val="28"/>
                <w:szCs w:val="28"/>
              </w:rPr>
              <w:t>建立贫困职工帮扶机制，将党组织的关爱落实到位。</w:t>
            </w:r>
          </w:p>
          <w:p>
            <w:pPr>
              <w:snapToGrid w:val="0"/>
              <w:spacing w:line="340" w:lineRule="exact"/>
              <w:rPr>
                <w:rFonts w:ascii="仿宋" w:hAnsi="仿宋" w:eastAsia="仿宋" w:cs="仿宋_GB2312"/>
                <w:sz w:val="28"/>
                <w:szCs w:val="28"/>
              </w:rPr>
            </w:pPr>
          </w:p>
          <w:p>
            <w:pPr>
              <w:snapToGrid w:val="0"/>
              <w:spacing w:line="340" w:lineRule="exact"/>
              <w:rPr>
                <w:rFonts w:ascii="仿宋" w:hAnsi="仿宋" w:eastAsia="仿宋" w:cs="仿宋_GB2312"/>
                <w:sz w:val="28"/>
                <w:szCs w:val="28"/>
              </w:rPr>
            </w:pPr>
          </w:p>
          <w:p>
            <w:pPr>
              <w:snapToGrid w:val="0"/>
              <w:spacing w:line="340" w:lineRule="exact"/>
              <w:rPr>
                <w:rFonts w:ascii="仿宋" w:hAnsi="仿宋" w:eastAsia="仿宋" w:cs="仿宋_GB2312"/>
                <w:sz w:val="28"/>
                <w:szCs w:val="28"/>
              </w:rPr>
            </w:pPr>
          </w:p>
        </w:tc>
        <w:tc>
          <w:tcPr>
            <w:tcW w:w="2017" w:type="pct"/>
          </w:tcPr>
          <w:p>
            <w:pPr>
              <w:snapToGrid w:val="0"/>
              <w:spacing w:line="340" w:lineRule="exact"/>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2" w:hRule="atLeast"/>
        </w:trPr>
        <w:tc>
          <w:tcPr>
            <w:tcW w:w="407" w:type="pct"/>
            <w:vMerge w:val="continue"/>
            <w:vAlign w:val="center"/>
          </w:tcPr>
          <w:p>
            <w:pPr>
              <w:snapToGrid w:val="0"/>
              <w:spacing w:line="340" w:lineRule="exact"/>
              <w:rPr>
                <w:rFonts w:ascii="仿宋_GB2312" w:hAnsi="仿宋_GB2312" w:eastAsia="仿宋_GB2312" w:cs="仿宋_GB2312"/>
                <w:sz w:val="24"/>
                <w:szCs w:val="24"/>
              </w:rPr>
            </w:pPr>
          </w:p>
        </w:tc>
        <w:tc>
          <w:tcPr>
            <w:tcW w:w="468" w:type="pct"/>
          </w:tcPr>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p>
          <w:p>
            <w:pPr>
              <w:snapToGrid w:val="0"/>
              <w:spacing w:line="340" w:lineRule="exact"/>
              <w:jc w:val="center"/>
              <w:rPr>
                <w:rFonts w:ascii="黑体" w:hAnsi="黑体" w:eastAsia="黑体" w:cs="仿宋_GB2312"/>
                <w:sz w:val="24"/>
                <w:szCs w:val="24"/>
              </w:rPr>
            </w:pPr>
            <w:r>
              <w:rPr>
                <w:rFonts w:hint="eastAsia" w:ascii="黑体" w:hAnsi="黑体" w:eastAsia="黑体" w:cs="仿宋_GB2312"/>
                <w:sz w:val="24"/>
                <w:szCs w:val="24"/>
              </w:rPr>
              <w:t>党建工作</w:t>
            </w:r>
          </w:p>
          <w:p>
            <w:pPr>
              <w:snapToGrid w:val="0"/>
              <w:spacing w:line="340" w:lineRule="exact"/>
              <w:jc w:val="center"/>
              <w:rPr>
                <w:rFonts w:ascii="黑体" w:hAnsi="黑体" w:eastAsia="黑体" w:cs="仿宋_GB2312"/>
                <w:sz w:val="24"/>
                <w:szCs w:val="24"/>
              </w:rPr>
            </w:pPr>
            <w:r>
              <w:rPr>
                <w:rFonts w:hint="eastAsia" w:ascii="黑体" w:hAnsi="黑体" w:eastAsia="黑体" w:cs="仿宋_GB2312"/>
                <w:sz w:val="24"/>
                <w:szCs w:val="24"/>
              </w:rPr>
              <w:t>成效</w:t>
            </w:r>
          </w:p>
          <w:p>
            <w:pPr>
              <w:snapToGrid w:val="0"/>
              <w:spacing w:line="340" w:lineRule="exact"/>
              <w:jc w:val="center"/>
              <w:rPr>
                <w:rFonts w:ascii="仿宋_GB2312" w:hAnsi="仿宋_GB2312" w:eastAsia="仿宋_GB2312" w:cs="仿宋_GB2312"/>
                <w:sz w:val="24"/>
                <w:szCs w:val="24"/>
              </w:rPr>
            </w:pPr>
          </w:p>
        </w:tc>
        <w:tc>
          <w:tcPr>
            <w:tcW w:w="2106" w:type="pct"/>
          </w:tcPr>
          <w:p>
            <w:pPr>
              <w:snapToGrid w:val="0"/>
              <w:spacing w:line="340" w:lineRule="exact"/>
              <w:rPr>
                <w:rFonts w:ascii="仿宋" w:hAnsi="仿宋" w:eastAsia="仿宋" w:cs="仿宋_GB2312"/>
                <w:sz w:val="28"/>
                <w:szCs w:val="28"/>
              </w:rPr>
            </w:pPr>
          </w:p>
          <w:p>
            <w:pPr>
              <w:snapToGrid w:val="0"/>
              <w:spacing w:line="340" w:lineRule="exact"/>
              <w:rPr>
                <w:rFonts w:ascii="仿宋" w:hAnsi="仿宋" w:eastAsia="仿宋" w:cs="仿宋_GB2312"/>
                <w:sz w:val="28"/>
                <w:szCs w:val="28"/>
              </w:rPr>
            </w:pPr>
            <w:bookmarkStart w:id="0" w:name="_GoBack"/>
            <w:bookmarkEnd w:id="0"/>
            <w:r>
              <w:rPr>
                <w:rFonts w:ascii="仿宋" w:hAnsi="仿宋" w:eastAsia="仿宋" w:cs="仿宋_GB2312"/>
                <w:sz w:val="28"/>
                <w:szCs w:val="28"/>
              </w:rPr>
              <w:t>1.</w:t>
            </w:r>
            <w:r>
              <w:rPr>
                <w:rFonts w:hint="eastAsia" w:ascii="仿宋" w:hAnsi="仿宋" w:eastAsia="仿宋" w:cs="仿宋_GB2312"/>
                <w:sz w:val="28"/>
                <w:szCs w:val="28"/>
              </w:rPr>
              <w:t>认真落实党委决定和工作部署，对党委安排的各项专项工作任务都能够做到按时按质完成，成效显著。</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积极宣传党的路线方针政策和时事政治动态，教育党员职工的思想和党中央保持高度一致。</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充分发挥党组织政治核心和战斗堡垒作用。党员干部严格遵守政治纪律、组织纪律，在大是大非面前头脑清醒、立场坚定，在重点工作和吃苦耐劳方面发挥模范带头作用；全体职工遵纪守法、爱岗敬业，工作氛围风清气正，本单位改革和发展成效显著。</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认真落实党风廉政建设责任制，保障本单位在基建维修、大额采购、大宗产品出售等方面程序规范，公正廉洁。对于一些苗头性问题能加强监督，做到及时发现，及时纠正。</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落实意识形态工作责任制，做好统战和民族宗教工作，重视信访工作，确保全年无意识形态问题发生。</w:t>
            </w:r>
            <w:r>
              <w:rPr>
                <w:rFonts w:ascii="仿宋" w:hAnsi="仿宋" w:eastAsia="仿宋" w:cs="仿宋_GB2312"/>
                <w:sz w:val="28"/>
                <w:szCs w:val="28"/>
              </w:rPr>
              <w:t xml:space="preserve"> </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6.</w:t>
            </w:r>
            <w:r>
              <w:rPr>
                <w:rFonts w:hint="eastAsia" w:ascii="仿宋" w:hAnsi="仿宋" w:eastAsia="仿宋" w:cs="仿宋_GB2312"/>
                <w:sz w:val="28"/>
                <w:szCs w:val="28"/>
              </w:rPr>
              <w:t>落实稳定安全工作责任制，做好党员和职工政治思想工作，及时化解矛盾，确保不出现稳定安全事故。</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7.</w:t>
            </w:r>
            <w:r>
              <w:rPr>
                <w:rFonts w:hint="eastAsia" w:ascii="仿宋" w:hAnsi="仿宋" w:eastAsia="仿宋" w:cs="仿宋_GB2312"/>
                <w:sz w:val="28"/>
                <w:szCs w:val="28"/>
              </w:rPr>
              <w:t>积极创新党建活动形式，积极创建有特色的场站文化。</w:t>
            </w:r>
          </w:p>
          <w:p>
            <w:pPr>
              <w:snapToGrid w:val="0"/>
              <w:spacing w:line="340" w:lineRule="exact"/>
              <w:rPr>
                <w:rFonts w:ascii="仿宋" w:hAnsi="仿宋" w:eastAsia="仿宋" w:cs="仿宋_GB2312"/>
                <w:sz w:val="28"/>
                <w:szCs w:val="28"/>
              </w:rPr>
            </w:pPr>
            <w:r>
              <w:rPr>
                <w:rFonts w:ascii="仿宋" w:hAnsi="仿宋" w:eastAsia="仿宋" w:cs="仿宋_GB2312"/>
                <w:sz w:val="28"/>
                <w:szCs w:val="28"/>
              </w:rPr>
              <w:t>8.</w:t>
            </w:r>
            <w:r>
              <w:rPr>
                <w:rFonts w:hint="eastAsia" w:ascii="仿宋" w:hAnsi="仿宋" w:eastAsia="仿宋" w:cs="仿宋_GB2312"/>
                <w:sz w:val="28"/>
                <w:szCs w:val="28"/>
              </w:rPr>
              <w:t>年度党建工作档案归档及时，完备规范、齐全有序。</w:t>
            </w:r>
          </w:p>
        </w:tc>
        <w:tc>
          <w:tcPr>
            <w:tcW w:w="2017" w:type="pct"/>
          </w:tcPr>
          <w:p>
            <w:pPr>
              <w:snapToGrid w:val="0"/>
              <w:spacing w:line="340" w:lineRule="exact"/>
              <w:rPr>
                <w:rFonts w:ascii="仿宋" w:hAnsi="仿宋" w:eastAsia="仿宋" w:cs="仿宋_GB2312"/>
                <w:sz w:val="28"/>
                <w:szCs w:val="28"/>
              </w:rPr>
            </w:pPr>
          </w:p>
        </w:tc>
      </w:tr>
    </w:tbl>
    <w:p>
      <w:pPr>
        <w:spacing w:line="20" w:lineRule="exact"/>
      </w:pPr>
    </w:p>
    <w:sectPr>
      <w:headerReference r:id="rId3" w:type="default"/>
      <w:pgSz w:w="16838" w:h="11906" w:orient="landscape"/>
      <w:pgMar w:top="907" w:right="907" w:bottom="907"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ZmMzM5M2Q0NmY3NDc2OTNiYThhN2JjYzM1ZTQ4ZGIifQ=="/>
  </w:docVars>
  <w:rsids>
    <w:rsidRoot w:val="00C62F75"/>
    <w:rsid w:val="000049D1"/>
    <w:rsid w:val="000204B2"/>
    <w:rsid w:val="00033470"/>
    <w:rsid w:val="000424F2"/>
    <w:rsid w:val="00042DDB"/>
    <w:rsid w:val="0005329B"/>
    <w:rsid w:val="00090162"/>
    <w:rsid w:val="000B0843"/>
    <w:rsid w:val="000D135F"/>
    <w:rsid w:val="0011593F"/>
    <w:rsid w:val="00117AFA"/>
    <w:rsid w:val="00126850"/>
    <w:rsid w:val="00134ED8"/>
    <w:rsid w:val="00160F2C"/>
    <w:rsid w:val="001805A9"/>
    <w:rsid w:val="001B7AF4"/>
    <w:rsid w:val="001D07C5"/>
    <w:rsid w:val="001E41D5"/>
    <w:rsid w:val="00207B63"/>
    <w:rsid w:val="00224A44"/>
    <w:rsid w:val="00255DF6"/>
    <w:rsid w:val="002F273D"/>
    <w:rsid w:val="002F2921"/>
    <w:rsid w:val="00331A68"/>
    <w:rsid w:val="00344ACE"/>
    <w:rsid w:val="0037606B"/>
    <w:rsid w:val="003A5201"/>
    <w:rsid w:val="003C19E7"/>
    <w:rsid w:val="003C554E"/>
    <w:rsid w:val="003F5925"/>
    <w:rsid w:val="0041170C"/>
    <w:rsid w:val="00424E4B"/>
    <w:rsid w:val="004434D1"/>
    <w:rsid w:val="00460D46"/>
    <w:rsid w:val="00462AE9"/>
    <w:rsid w:val="004726ED"/>
    <w:rsid w:val="00510CB9"/>
    <w:rsid w:val="005365E7"/>
    <w:rsid w:val="005820D3"/>
    <w:rsid w:val="005A6F72"/>
    <w:rsid w:val="005B2AA1"/>
    <w:rsid w:val="005C1325"/>
    <w:rsid w:val="005C15C8"/>
    <w:rsid w:val="005E1FBD"/>
    <w:rsid w:val="00600B2A"/>
    <w:rsid w:val="00625492"/>
    <w:rsid w:val="006429D4"/>
    <w:rsid w:val="0064489C"/>
    <w:rsid w:val="00651C0A"/>
    <w:rsid w:val="006B3A1C"/>
    <w:rsid w:val="006C559F"/>
    <w:rsid w:val="006C5F9F"/>
    <w:rsid w:val="006C7658"/>
    <w:rsid w:val="006D4CE2"/>
    <w:rsid w:val="00743E07"/>
    <w:rsid w:val="00760854"/>
    <w:rsid w:val="00762648"/>
    <w:rsid w:val="00765704"/>
    <w:rsid w:val="00774080"/>
    <w:rsid w:val="00784051"/>
    <w:rsid w:val="007A0617"/>
    <w:rsid w:val="007F2C21"/>
    <w:rsid w:val="00835A0D"/>
    <w:rsid w:val="008A0F00"/>
    <w:rsid w:val="008A178E"/>
    <w:rsid w:val="008A35C5"/>
    <w:rsid w:val="008B45ED"/>
    <w:rsid w:val="008C79C5"/>
    <w:rsid w:val="00901DE3"/>
    <w:rsid w:val="009120FF"/>
    <w:rsid w:val="00914EAE"/>
    <w:rsid w:val="00932DC0"/>
    <w:rsid w:val="00952E84"/>
    <w:rsid w:val="009556CB"/>
    <w:rsid w:val="009624DB"/>
    <w:rsid w:val="00966317"/>
    <w:rsid w:val="00995018"/>
    <w:rsid w:val="00997EE6"/>
    <w:rsid w:val="009C0FA8"/>
    <w:rsid w:val="00A22564"/>
    <w:rsid w:val="00A261DD"/>
    <w:rsid w:val="00A838A5"/>
    <w:rsid w:val="00A93620"/>
    <w:rsid w:val="00AB0D95"/>
    <w:rsid w:val="00AE142F"/>
    <w:rsid w:val="00B143F4"/>
    <w:rsid w:val="00B170E2"/>
    <w:rsid w:val="00B2369F"/>
    <w:rsid w:val="00B54221"/>
    <w:rsid w:val="00B71A39"/>
    <w:rsid w:val="00B84653"/>
    <w:rsid w:val="00B87625"/>
    <w:rsid w:val="00BC0A8A"/>
    <w:rsid w:val="00BE34A4"/>
    <w:rsid w:val="00BF428B"/>
    <w:rsid w:val="00C11D42"/>
    <w:rsid w:val="00C124C9"/>
    <w:rsid w:val="00C14768"/>
    <w:rsid w:val="00C249D3"/>
    <w:rsid w:val="00C62F75"/>
    <w:rsid w:val="00C75939"/>
    <w:rsid w:val="00C85D84"/>
    <w:rsid w:val="00CB7F04"/>
    <w:rsid w:val="00CC60D6"/>
    <w:rsid w:val="00CD13C9"/>
    <w:rsid w:val="00CD3E31"/>
    <w:rsid w:val="00CF07CF"/>
    <w:rsid w:val="00D02638"/>
    <w:rsid w:val="00D45A10"/>
    <w:rsid w:val="00D60A0B"/>
    <w:rsid w:val="00DB245A"/>
    <w:rsid w:val="00DD316D"/>
    <w:rsid w:val="00DD50DA"/>
    <w:rsid w:val="00DF071F"/>
    <w:rsid w:val="00DF2128"/>
    <w:rsid w:val="00DF257C"/>
    <w:rsid w:val="00E03522"/>
    <w:rsid w:val="00E10D33"/>
    <w:rsid w:val="00E11247"/>
    <w:rsid w:val="00E15B53"/>
    <w:rsid w:val="00E34983"/>
    <w:rsid w:val="00E5303E"/>
    <w:rsid w:val="00E55C52"/>
    <w:rsid w:val="00E659F6"/>
    <w:rsid w:val="00E74950"/>
    <w:rsid w:val="00E75712"/>
    <w:rsid w:val="00E919F3"/>
    <w:rsid w:val="00EA1877"/>
    <w:rsid w:val="00EA1AA4"/>
    <w:rsid w:val="00EB011B"/>
    <w:rsid w:val="00ED69E5"/>
    <w:rsid w:val="00EE1338"/>
    <w:rsid w:val="00EE3D2D"/>
    <w:rsid w:val="00F11755"/>
    <w:rsid w:val="00F5767E"/>
    <w:rsid w:val="00F75E1D"/>
    <w:rsid w:val="00F8716E"/>
    <w:rsid w:val="00F9706F"/>
    <w:rsid w:val="00FA7A7A"/>
    <w:rsid w:val="00FE4F4B"/>
    <w:rsid w:val="00FF6781"/>
    <w:rsid w:val="26425200"/>
    <w:rsid w:val="4BAC5B02"/>
    <w:rsid w:val="65810AE4"/>
    <w:rsid w:val="66061913"/>
    <w:rsid w:val="68A07ED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8">
    <w:name w:val="Balloon Text Char"/>
    <w:basedOn w:val="7"/>
    <w:link w:val="2"/>
    <w:semiHidden/>
    <w:locked/>
    <w:uiPriority w:val="99"/>
    <w:rPr>
      <w:rFonts w:cs="Times New Roman"/>
      <w:sz w:val="18"/>
      <w:szCs w:val="18"/>
    </w:rPr>
  </w:style>
  <w:style w:type="character" w:customStyle="1" w:styleId="9">
    <w:name w:val="Footer Char"/>
    <w:basedOn w:val="7"/>
    <w:link w:val="3"/>
    <w:locked/>
    <w:uiPriority w:val="99"/>
    <w:rPr>
      <w:rFonts w:cs="Times New Roman"/>
      <w:sz w:val="18"/>
      <w:szCs w:val="18"/>
    </w:rPr>
  </w:style>
  <w:style w:type="character" w:customStyle="1" w:styleId="10">
    <w:name w:val="Header Char"/>
    <w:basedOn w:val="7"/>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207</Words>
  <Characters>1181</Characters>
  <Lines>0</Lines>
  <Paragraphs>0</Paragraphs>
  <TotalTime>65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2020-05-06T02:03:00Z</dcterms:created>
  <dc:creator>李文静</dc:creator>
  <cp:lastModifiedBy>草莓布丁</cp:lastModifiedBy>
  <cp:lastPrinted>2023-11-10T02:06:14Z</cp:lastPrinted>
  <dcterms:modified xsi:type="dcterms:W3CDTF">2023-11-10T02:06:44Z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C83AA25E0FCF460F96A40869D9981F9E</vt:lpwstr>
  </property>
</Properties>
</file>